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jpeg" ContentType="image/jpeg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4536" w:hanging="0"/>
        <w:jc w:val="center"/>
        <w:rPr>
          <w:rFonts w:ascii="PT Astra Serif" w:hAnsi="PT Astra Serif"/>
          <w:sz w:val="18"/>
          <w:szCs w:val="18"/>
        </w:rPr>
      </w:pPr>
      <w:r>
        <w:drawing>
          <wp:anchor behindDoc="0" distT="0" distB="0" distL="114300" distR="114300" simplePos="0" locked="0" layoutInCell="0" allowOverlap="1" relativeHeight="3">
            <wp:simplePos x="0" y="0"/>
            <wp:positionH relativeFrom="column">
              <wp:posOffset>2809875</wp:posOffset>
            </wp:positionH>
            <wp:positionV relativeFrom="page">
              <wp:posOffset>388620</wp:posOffset>
            </wp:positionV>
            <wp:extent cx="671830" cy="327660"/>
            <wp:effectExtent l="0" t="0" r="0" b="0"/>
            <wp:wrapSquare wrapText="bothSides"/>
            <wp:docPr id="1" name="Рисунок 2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лого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327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T Astra Serif" w:hAnsi="PT Astra Serif"/>
          <w:sz w:val="18"/>
          <w:szCs w:val="18"/>
        </w:rPr>
        <w:t xml:space="preserve">  </w:t>
      </w:r>
    </w:p>
    <w:p>
      <w:pPr>
        <w:pStyle w:val="Normal"/>
        <w:spacing w:before="0" w:after="0"/>
        <w:jc w:val="center"/>
        <w:rPr>
          <w:rFonts w:ascii="PT Astra Serif" w:hAnsi="PT Astra Serif"/>
          <w:b/>
          <w:b/>
          <w:sz w:val="18"/>
          <w:szCs w:val="18"/>
        </w:rPr>
      </w:pPr>
      <w:r>
        <w:rPr>
          <w:rFonts w:ascii="PT Astra Serif" w:hAnsi="PT Astra Serif"/>
          <w:b/>
          <w:sz w:val="18"/>
          <w:szCs w:val="18"/>
        </w:rPr>
        <w:t>ДЕПАРТАМЕНТ КУЛЬТУРЫ ЯМАЛО-НЕНЕЦКОГО АВТОНОМНОГО ОКРУГА</w:t>
      </w:r>
    </w:p>
    <w:p>
      <w:pPr>
        <w:pStyle w:val="Style17"/>
        <w:spacing w:before="0" w:after="0"/>
        <w:ind w:right="-5" w:hanging="0"/>
        <w:jc w:val="center"/>
        <w:rPr>
          <w:rFonts w:ascii="PT Astra Serif" w:hAnsi="PT Astra Serif"/>
          <w:b/>
          <w:b/>
          <w:bCs/>
          <w:sz w:val="18"/>
          <w:szCs w:val="18"/>
        </w:rPr>
      </w:pPr>
      <w:r>
        <w:rPr>
          <w:rFonts w:ascii="PT Astra Serif" w:hAnsi="PT Astra Serif"/>
          <w:b/>
          <w:bCs/>
          <w:sz w:val="18"/>
          <w:szCs w:val="18"/>
        </w:rPr>
        <w:t>Государственное автономное учреждение Ямало-Ненецкого автономного округа «НАЦИОНАЛЬНАЯ БИБЛИОТЕКА ЯМАЛО-НЕНЕЦКОГО АВТОНОМНОГО ОКРУГА»</w:t>
      </w:r>
    </w:p>
    <w:p>
      <w:pPr>
        <w:pStyle w:val="Style17"/>
        <w:spacing w:before="0" w:after="0"/>
        <w:ind w:right="-5" w:hanging="0"/>
        <w:jc w:val="center"/>
        <w:rPr>
          <w:rFonts w:ascii="PT Astra Serif" w:hAnsi="PT Astra Serif"/>
          <w:b/>
          <w:b/>
          <w:bCs/>
          <w:sz w:val="18"/>
          <w:szCs w:val="18"/>
        </w:rPr>
      </w:pPr>
      <w:r>
        <w:rPr>
          <w:rFonts w:ascii="PT Astra Serif" w:hAnsi="PT Astra Serif"/>
          <w:b/>
          <w:bCs/>
          <w:sz w:val="18"/>
          <w:szCs w:val="18"/>
        </w:rPr>
        <w:t>(ГАУ ЯНАО «НАЦИОНАЛЬНАЯ БИБЛИОТЕКА ЯНАО»)</w:t>
      </w:r>
    </w:p>
    <w:p>
      <w:pPr>
        <w:pStyle w:val="Normal"/>
        <w:spacing w:before="0" w:after="0"/>
        <w:jc w:val="center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sz w:val="18"/>
          <w:szCs w:val="18"/>
        </w:rPr>
        <mc:AlternateContent>
          <mc:Choice Requires="wps">
            <w:drawing>
              <wp:anchor behindDoc="0" distT="0" distB="0" distL="0" distR="0" simplePos="0" locked="0" layoutInCell="0" allowOverlap="1" relativeHeight="2" wp14:anchorId="1738761D">
                <wp:simplePos x="0" y="0"/>
                <wp:positionH relativeFrom="column">
                  <wp:posOffset>38100</wp:posOffset>
                </wp:positionH>
                <wp:positionV relativeFrom="paragraph">
                  <wp:posOffset>38100</wp:posOffset>
                </wp:positionV>
                <wp:extent cx="6228715" cy="15875"/>
                <wp:effectExtent l="28575" t="28575" r="29845" b="32385"/>
                <wp:wrapNone/>
                <wp:docPr id="2" name="Прямая соединительная линия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8000" cy="1512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pt,3pt" to="493.35pt,4.15pt" ID="Прямая соединительная линия 1" stroked="t" o:allowincell="f" style="position:absolute" wp14:anchorId="1738761D">
                <v:stroke color="black" weight="5724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spacing w:before="0" w:after="0"/>
        <w:jc w:val="center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sz w:val="18"/>
          <w:szCs w:val="18"/>
        </w:rPr>
        <w:t>ул. Чубынина, 36, г. Салехард, Ямало-Ненецкий автономный округ, 629008</w:t>
      </w:r>
    </w:p>
    <w:p>
      <w:pPr>
        <w:pStyle w:val="Normal"/>
        <w:spacing w:before="0" w:after="0"/>
        <w:jc w:val="center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sz w:val="18"/>
          <w:szCs w:val="18"/>
        </w:rPr>
        <w:t>Тел./факс: (34922) 4-12-53. Е-</w:t>
      </w:r>
      <w:r>
        <w:rPr>
          <w:rFonts w:ascii="PT Astra Serif" w:hAnsi="PT Astra Serif"/>
          <w:sz w:val="18"/>
          <w:szCs w:val="18"/>
          <w:lang w:val="en-US"/>
        </w:rPr>
        <w:t>mail</w:t>
      </w:r>
      <w:r>
        <w:rPr>
          <w:rFonts w:ascii="PT Astra Serif" w:hAnsi="PT Astra Serif"/>
          <w:sz w:val="18"/>
          <w:szCs w:val="18"/>
        </w:rPr>
        <w:t xml:space="preserve">: </w:t>
      </w:r>
      <w:r>
        <w:rPr>
          <w:rFonts w:ascii="PT Astra Serif" w:hAnsi="PT Astra Serif"/>
          <w:sz w:val="18"/>
          <w:szCs w:val="18"/>
          <w:lang w:val="en-US"/>
        </w:rPr>
        <w:t>neb</w:t>
      </w:r>
      <w:r>
        <w:rPr>
          <w:rFonts w:ascii="PT Astra Serif" w:hAnsi="PT Astra Serif"/>
          <w:sz w:val="18"/>
          <w:szCs w:val="18"/>
        </w:rPr>
        <w:t>-</w:t>
      </w:r>
      <w:r>
        <w:rPr>
          <w:rFonts w:ascii="PT Astra Serif" w:hAnsi="PT Astra Serif"/>
          <w:sz w:val="18"/>
          <w:szCs w:val="18"/>
          <w:lang w:val="en-US"/>
        </w:rPr>
        <w:t>yana</w:t>
      </w:r>
      <w:r>
        <w:rPr>
          <w:rFonts w:ascii="PT Astra Serif" w:hAnsi="PT Astra Serif"/>
          <w:sz w:val="18"/>
          <w:szCs w:val="18"/>
        </w:rPr>
        <w:t>о@</w:t>
      </w:r>
      <w:r>
        <w:rPr>
          <w:rFonts w:ascii="PT Astra Serif" w:hAnsi="PT Astra Serif"/>
          <w:sz w:val="18"/>
          <w:szCs w:val="18"/>
          <w:lang w:val="en-US"/>
        </w:rPr>
        <w:t>mail</w:t>
      </w:r>
      <w:r>
        <w:rPr>
          <w:rFonts w:ascii="PT Astra Serif" w:hAnsi="PT Astra Serif"/>
          <w:sz w:val="18"/>
          <w:szCs w:val="18"/>
        </w:rPr>
        <w:t>.</w:t>
      </w:r>
      <w:r>
        <w:rPr>
          <w:rFonts w:ascii="PT Astra Serif" w:hAnsi="PT Astra Serif"/>
          <w:sz w:val="18"/>
          <w:szCs w:val="18"/>
          <w:lang w:val="en-US"/>
        </w:rPr>
        <w:t>ru</w:t>
      </w:r>
      <w:r>
        <w:rPr>
          <w:rFonts w:ascii="PT Astra Serif" w:hAnsi="PT Astra Serif"/>
          <w:sz w:val="18"/>
          <w:szCs w:val="18"/>
        </w:rPr>
        <w:t xml:space="preserve">, </w:t>
      </w:r>
      <w:r>
        <w:rPr>
          <w:rFonts w:ascii="PT Astra Serif" w:hAnsi="PT Astra Serif"/>
          <w:sz w:val="18"/>
          <w:szCs w:val="18"/>
          <w:lang w:val="en-US"/>
        </w:rPr>
        <w:t>nb</w:t>
      </w:r>
      <w:r>
        <w:rPr>
          <w:rFonts w:ascii="PT Astra Serif" w:hAnsi="PT Astra Serif"/>
          <w:sz w:val="18"/>
          <w:szCs w:val="18"/>
        </w:rPr>
        <w:t>@</w:t>
      </w:r>
      <w:r>
        <w:rPr>
          <w:rFonts w:ascii="PT Astra Serif" w:hAnsi="PT Astra Serif"/>
          <w:sz w:val="18"/>
          <w:szCs w:val="18"/>
          <w:lang w:val="en-US"/>
        </w:rPr>
        <w:t>dk</w:t>
      </w:r>
      <w:r>
        <w:rPr>
          <w:rFonts w:ascii="PT Astra Serif" w:hAnsi="PT Astra Serif"/>
          <w:sz w:val="18"/>
          <w:szCs w:val="18"/>
        </w:rPr>
        <w:t>.</w:t>
      </w:r>
      <w:r>
        <w:rPr>
          <w:rFonts w:ascii="PT Astra Serif" w:hAnsi="PT Astra Serif"/>
          <w:sz w:val="18"/>
          <w:szCs w:val="18"/>
          <w:lang w:val="en-US"/>
        </w:rPr>
        <w:t>yanao</w:t>
      </w:r>
      <w:r>
        <w:rPr>
          <w:rFonts w:ascii="PT Astra Serif" w:hAnsi="PT Astra Serif"/>
          <w:sz w:val="18"/>
          <w:szCs w:val="18"/>
        </w:rPr>
        <w:t>.</w:t>
      </w:r>
      <w:r>
        <w:rPr>
          <w:rFonts w:ascii="PT Astra Serif" w:hAnsi="PT Astra Serif"/>
          <w:sz w:val="18"/>
          <w:szCs w:val="18"/>
          <w:lang w:val="en-US"/>
        </w:rPr>
        <w:t>ru</w:t>
      </w:r>
    </w:p>
    <w:p>
      <w:pPr>
        <w:pStyle w:val="Normal"/>
        <w:spacing w:before="0" w:after="0"/>
        <w:jc w:val="center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sz w:val="18"/>
          <w:szCs w:val="18"/>
        </w:rPr>
        <w:t>ОКПО 93919049, ОГРН 1068901007768, ИНН/КПП 8901017847/890101001</w:t>
      </w:r>
    </w:p>
    <w:p>
      <w:pPr>
        <w:pStyle w:val="ConsPlusNormal"/>
        <w:ind w:hanging="0"/>
        <w:jc w:val="center"/>
        <w:rPr>
          <w:rFonts w:ascii="PT Astra Serif" w:hAnsi="PT Astra Serif" w:cs="Times New Roman"/>
          <w:b/>
          <w:b/>
          <w:sz w:val="24"/>
          <w:szCs w:val="24"/>
        </w:rPr>
      </w:pPr>
      <w:r>
        <w:rPr>
          <w:rFonts w:cs="Times New Roman" w:ascii="PT Astra Serif" w:hAnsi="PT Astra Serif"/>
          <w:b/>
          <w:sz w:val="24"/>
          <w:szCs w:val="24"/>
        </w:rPr>
        <w:t>ПРЕСС-РЕЛИЗ</w:t>
      </w:r>
    </w:p>
    <w:p>
      <w:pPr>
        <w:pStyle w:val="Normal"/>
        <w:jc w:val="center"/>
        <w:rPr>
          <w:rFonts w:ascii="PT Astra Serif" w:hAnsi="PT Astra Serif"/>
          <w:b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Проект «Ямальские встречи» в Ноябрьске и Муравленко</w:t>
      </w:r>
    </w:p>
    <w:p>
      <w:pPr>
        <w:pStyle w:val="Normal"/>
        <w:spacing w:before="0" w:after="0"/>
        <w:ind w:firstLine="708"/>
        <w:jc w:val="both"/>
        <w:rPr/>
      </w:pPr>
      <w:r>
        <w:rPr/>
        <w:t>Национальная библиотека Ямала продолжает реализацию проекта «Ямальские встречи». На основе положительных откликов открытия проекта в г. Новый Уренгой в сентябре 2022 года был составлен план - организовать новые мероприятия как можно скорее и пригласить на Ямал интересных личностей, встречи с которыми пройдут в трех городах ЯНАО. Формат встреч предполагает живое общение, во время которого жители могут задавать все интересующие вопросы напрямую гостям проекта.</w:t>
      </w:r>
    </w:p>
    <w:p>
      <w:pPr>
        <w:pStyle w:val="Normal"/>
        <w:spacing w:before="0" w:after="0"/>
        <w:ind w:firstLine="708"/>
        <w:jc w:val="both"/>
        <w:rPr/>
      </w:pPr>
      <w:r>
        <w:rPr>
          <w:b/>
        </w:rPr>
        <w:t>4 ноября в г. Ноябрьск</w:t>
      </w:r>
      <w:r>
        <w:rPr/>
        <w:t xml:space="preserve"> пройдут сразу три встречи с известными людьми.</w:t>
      </w:r>
    </w:p>
    <w:p>
      <w:pPr>
        <w:pStyle w:val="Normal"/>
        <w:spacing w:before="0" w:after="0"/>
        <w:ind w:firstLine="708"/>
        <w:jc w:val="both"/>
        <w:rPr/>
      </w:pPr>
      <w:r>
        <w:rPr/>
        <w:t>Гостями станут:</w:t>
      </w:r>
    </w:p>
    <w:p>
      <w:pPr>
        <w:pStyle w:val="Normal"/>
        <w:spacing w:before="0" w:after="0"/>
        <w:ind w:firstLine="708"/>
        <w:jc w:val="both"/>
        <w:rPr/>
      </w:pPr>
      <w:r>
        <w:rPr>
          <w:lang w:eastAsia="ru-RU"/>
        </w:rPr>
        <w:t xml:space="preserve">— </w:t>
      </w:r>
      <w:r>
        <w:rPr>
          <w:b/>
        </w:rPr>
        <w:t>Евгений Водолазкин</w:t>
      </w:r>
      <w:r>
        <w:rPr/>
        <w:t xml:space="preserve"> – русский писатель и литературовед. Доктор филологических наук. Автор книг «Лавр», «Брисбен». </w:t>
      </w:r>
      <w:r>
        <w:rPr>
          <w:lang w:eastAsia="ru-RU"/>
        </w:rPr>
        <w:t>Каждая книга Водолазкина — бестселлер выхода которого ждут тысячи поклонников по всему миру (романы переводятся на многие иностранные языки).</w:t>
      </w:r>
      <w:r>
        <w:rPr/>
        <w:t xml:space="preserve">   </w:t>
      </w:r>
      <w:hyperlink r:id="rId3">
        <w:r>
          <w:rPr/>
          <w:t>https://vk.com/evodolazkin</w:t>
        </w:r>
      </w:hyperlink>
      <w:r>
        <w:rPr/>
        <w:t xml:space="preserve"> </w:t>
      </w:r>
    </w:p>
    <w:p>
      <w:pPr>
        <w:pStyle w:val="Normal"/>
        <w:spacing w:before="0" w:after="0"/>
        <w:ind w:firstLine="708"/>
        <w:jc w:val="both"/>
        <w:rPr/>
      </w:pPr>
      <w:r>
        <w:rPr>
          <w:lang w:eastAsia="ru-RU"/>
        </w:rPr>
        <w:t xml:space="preserve">— </w:t>
      </w:r>
      <w:r>
        <w:rPr>
          <w:b/>
        </w:rPr>
        <w:t>Денис Гончаров</w:t>
      </w:r>
      <w:r>
        <w:rPr/>
        <w:t xml:space="preserve"> - основатель стартапа NOLI Music inc для людей с ограниченными возможностями. Денис Гончаров мечтал играть на гитаре, но ему мешало генетическое заболевание — мышечная дистрофия Дюшенна. Из-за нее у Гончарова не   получалось зажимать аккорды и играть. Чтобы справиться с проблемой, он решил создать «умную» электрогитару. Является победителем ежегодного рейтинга журнала Forbes «30 до 30» в 2022 году. </w:t>
      </w:r>
      <w:hyperlink r:id="rId4">
        <w:r>
          <w:rPr/>
          <w:t>https://vk.com/denzogoncharov</w:t>
        </w:r>
      </w:hyperlink>
      <w:r>
        <w:rPr/>
        <w:t xml:space="preserve"> </w:t>
      </w:r>
    </w:p>
    <w:p>
      <w:pPr>
        <w:pStyle w:val="Normal"/>
        <w:spacing w:before="0" w:after="0"/>
        <w:ind w:firstLine="708"/>
        <w:jc w:val="both"/>
        <w:rPr/>
      </w:pPr>
      <w:r>
        <w:rPr>
          <w:lang w:eastAsia="ru-RU"/>
        </w:rPr>
        <w:t xml:space="preserve">— </w:t>
      </w:r>
      <w:r>
        <w:rPr>
          <w:b/>
        </w:rPr>
        <w:t>Алексей Решетун</w:t>
      </w:r>
      <w:r>
        <w:rPr/>
        <w:t xml:space="preserve"> - судмедэксперт Бюро СМЭ Москвы, сотрудник кафедры судебной медицины РНИМУ им. Пирогова. Проводит практические занятия для курсантов Пограничной академии ФСБ России и студентов медицинского факультета МГУ, сотрудничает с Российской антитабачной коалицией, различными общественными организациями. С 2012 года ведет блог, в котором рассказывает о буднях своей работы, трагикомичных случаях из практики и наглядно показывает всем желающим последствия неправильного образа жизни. Автор книг «Как не умереть молодым», «Вскрытие покажет». </w:t>
      </w:r>
      <w:hyperlink r:id="rId5">
        <w:r>
          <w:rPr/>
          <w:t>https://vk.com/mossudmed</w:t>
        </w:r>
      </w:hyperlink>
      <w:r>
        <w:rPr/>
        <w:t xml:space="preserve"> </w:t>
      </w:r>
    </w:p>
    <w:p>
      <w:pPr>
        <w:pStyle w:val="Normal"/>
        <w:spacing w:before="0" w:after="0"/>
        <w:ind w:firstLine="708"/>
        <w:rPr/>
      </w:pPr>
      <w:r>
        <w:rPr>
          <w:b/>
        </w:rPr>
        <w:t>5 ноября</w:t>
      </w:r>
      <w:r>
        <w:rPr/>
        <w:t xml:space="preserve"> Денис Гончаров и Алексей Решетун встретятся с жителями </w:t>
      </w:r>
      <w:r>
        <w:rPr>
          <w:b/>
        </w:rPr>
        <w:t>г. Муравленко</w:t>
      </w:r>
      <w:r>
        <w:rPr/>
        <w:t>.</w:t>
      </w:r>
    </w:p>
    <w:p>
      <w:pPr>
        <w:pStyle w:val="Normal"/>
        <w:spacing w:before="0" w:after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  <w:bookmarkStart w:id="0" w:name="_GoBack"/>
      <w:bookmarkStart w:id="1" w:name="_GoBack"/>
      <w:bookmarkEnd w:id="1"/>
    </w:p>
    <w:p>
      <w:pPr>
        <w:pStyle w:val="Normal"/>
        <w:spacing w:before="0" w:after="0"/>
        <w:ind w:firstLine="708"/>
        <w:jc w:val="both"/>
        <w:rPr>
          <w:rFonts w:ascii="PT Astra Serif" w:hAnsi="PT Astra Serif"/>
          <w:i/>
          <w:i/>
        </w:rPr>
      </w:pPr>
      <w:r>
        <w:rPr>
          <w:rFonts w:ascii="PT Astra Serif" w:hAnsi="PT Astra Serif"/>
          <w:i/>
        </w:rPr>
        <w:t>Справка:</w:t>
      </w:r>
    </w:p>
    <w:p>
      <w:pPr>
        <w:pStyle w:val="Normal"/>
        <w:spacing w:before="0" w:after="0"/>
        <w:ind w:firstLine="708"/>
        <w:jc w:val="both"/>
        <w:rPr>
          <w:rFonts w:ascii="PT Astra Serif" w:hAnsi="PT Astra Serif"/>
          <w:i/>
          <w:i/>
        </w:rPr>
      </w:pPr>
      <w:r>
        <w:rPr>
          <w:rFonts w:ascii="PT Astra Serif" w:hAnsi="PT Astra Serif"/>
          <w:i/>
        </w:rPr>
        <w:t>Идея проекта «Ямальские встречи» возникла во время ежегодной поездки губернатора по муниципальным образованиям округа. Жительница Губкинского обратилась к Дмитрию Артюхову с просьбой почаще приглашать ведущих представителей культуры и искусства нашей страны не только к жителям столицы региона, но и в другие населенные пункты округа. Дмитрий Артюхов поддержал данную инициативу и выступил идейным вдохновителем проекта «Ямальские встречи».</w:t>
      </w:r>
    </w:p>
    <w:p>
      <w:pPr>
        <w:pStyle w:val="Normal"/>
        <w:spacing w:before="0" w:after="0"/>
        <w:ind w:firstLine="708"/>
        <w:jc w:val="both"/>
        <w:rPr>
          <w:rFonts w:ascii="PT Astra Serif" w:hAnsi="PT Astra Serif"/>
          <w:i/>
          <w:i/>
        </w:rPr>
      </w:pPr>
      <w:r>
        <w:rPr>
          <w:rFonts w:ascii="PT Astra Serif" w:hAnsi="PT Astra Serif"/>
          <w:i/>
        </w:rPr>
        <w:t>Впервые Встречи состоялись 2 сентября 2022 года в г. Новый Уренгой. Первыми звездными гостями стали - народный артист России, саксофонист Игорь Бутман и тележурналист, актер Борис Корчевников.</w:t>
      </w:r>
    </w:p>
    <w:p>
      <w:pPr>
        <w:pStyle w:val="Normal"/>
        <w:spacing w:before="0" w:after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</w:p>
    <w:p>
      <w:pPr>
        <w:pStyle w:val="Normal"/>
        <w:spacing w:before="0" w:after="0"/>
        <w:ind w:firstLine="708"/>
        <w:jc w:val="both"/>
        <w:rPr>
          <w:rFonts w:ascii="PT Astra Serif" w:hAnsi="PT Astra Serif"/>
          <w:sz w:val="28"/>
          <w:szCs w:val="28"/>
        </w:rPr>
      </w:pPr>
      <w:r>
        <w:rPr/>
      </w:r>
    </w:p>
    <w:sectPr>
      <w:type w:val="nextPage"/>
      <w:pgSz w:w="11906" w:h="16838"/>
      <w:pgMar w:left="709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swiss"/>
    <w:pitch w:val="variable"/>
  </w:font>
  <w:font w:name="Arial">
    <w:charset w:val="01"/>
    <w:family w:val="roman"/>
    <w:pitch w:val="variable"/>
  </w:font>
  <w:font w:name="PT Astra Serif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Calibri" w:cs="Liberation Serif" w:eastAsiaTheme="minorHAnsi"/>
        <w:sz w:val="24"/>
        <w:szCs w:val="24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Liberation Serif" w:hAnsi="Liberation Serif" w:eastAsia="Calibri" w:cs="Liberation Serif" w:eastAsiaTheme="minorHAnsi"/>
      <w:color w:val="auto"/>
      <w:kern w:val="0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214ee2"/>
    <w:rPr>
      <w:color w:val="0563C1" w:themeColor="hyperlink"/>
      <w:u w:val="single"/>
    </w:rPr>
  </w:style>
  <w:style w:type="character" w:styleId="Style15" w:customStyle="1">
    <w:name w:val="Основной текст Знак"/>
    <w:basedOn w:val="DefaultParagraphFont"/>
    <w:link w:val="a4"/>
    <w:semiHidden/>
    <w:qFormat/>
    <w:rsid w:val="0044190a"/>
    <w:rPr>
      <w:rFonts w:ascii="Times New Roman" w:hAnsi="Times New Roman" w:eastAsia="Times New Roman" w:cs="Times New Roman"/>
      <w:lang w:eastAsia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Style17">
    <w:name w:val="Body Text"/>
    <w:basedOn w:val="Normal"/>
    <w:link w:val="a5"/>
    <w:semiHidden/>
    <w:unhideWhenUsed/>
    <w:rsid w:val="0044190a"/>
    <w:pPr>
      <w:spacing w:lineRule="auto" w:line="240" w:before="0" w:after="120"/>
    </w:pPr>
    <w:rPr>
      <w:rFonts w:ascii="Times New Roman" w:hAnsi="Times New Roman" w:eastAsia="Times New Roman" w:cs="Times New Roman"/>
      <w:lang w:eastAsia="ru-RU"/>
    </w:rPr>
  </w:style>
  <w:style w:type="paragraph" w:styleId="Style18">
    <w:name w:val="List"/>
    <w:basedOn w:val="Style17"/>
    <w:pPr/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sPlusNormal" w:customStyle="1">
    <w:name w:val="ConsPlusNormal"/>
    <w:qFormat/>
    <w:rsid w:val="0044190a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vk.com/evodolazkin" TargetMode="External"/><Relationship Id="rId4" Type="http://schemas.openxmlformats.org/officeDocument/2006/relationships/hyperlink" Target="https://vk.com/denzogoncharov" TargetMode="External"/><Relationship Id="rId5" Type="http://schemas.openxmlformats.org/officeDocument/2006/relationships/hyperlink" Target="https://vk.com/mossudmed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Application>LibreOffice/7.2.4.1$Linux_X86_64 LibreOffice_project/20$Build-1</Application>
  <AppVersion>15.0000</AppVersion>
  <Pages>1</Pages>
  <Words>519</Words>
  <Characters>2689</Characters>
  <CharactersWithSpaces>3071</CharactersWithSpaces>
  <Paragraphs>20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2022-10-04T05:04:00Z</dcterms:created>
  <dc:creator>Марина</dc:creator>
  <dc:description/>
  <dc:language>ru-RU</dc:language>
  <cp:lastModifiedBy/>
  <cp:lastPrinted>2022-10-05T10:07:03Z</cp:lastPrinted>
  <dcterms:modified xsi:type="dcterms:W3CDTF">2022-10-05T10:07:08Z</dcterms:modified>
  <cp:revision>55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